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color w:val="auto"/>
        </w:rPr>
      </w:pPr>
      <w:hyperlink r:id="rId2">
        <w:r>
          <w:rPr>
            <w:rStyle w:val="Czeinternetowe"/>
            <w:b/>
            <w:color w:val="000000"/>
            <w:sz w:val="21"/>
            <w:szCs w:val="21"/>
            <w:u w:val="none"/>
            <w:shd w:fill="F9F9F9" w:val="clear"/>
          </w:rPr>
          <w:t>Formularz informacji przedstawionych przy ubieganiu się o pomoc publiczna w związku ze zwrotem podatku akcyzowego zawartego w cenie oleju napędowego wykorzystywanego do produkcji rolnej</w:t>
        </w:r>
      </w:hyperlink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6"/>
        <w:gridCol w:w="7939"/>
      </w:tblGrid>
      <w:tr>
        <w:trPr/>
        <w:tc>
          <w:tcPr>
            <w:tcW w:w="10455" w:type="dxa"/>
            <w:gridSpan w:val="2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Wnioskodawcy</w:t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PESEL/NIP</w:t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51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l-PL" w:eastAsia="en-US" w:bidi="ar-SA"/>
              </w:rPr>
              <w:t>Nr telefonu</w:t>
            </w:r>
          </w:p>
        </w:tc>
        <w:tc>
          <w:tcPr>
            <w:tcW w:w="793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Forma prawna beneficjenta pomocy </w:t>
      </w:r>
      <w:r>
        <w:rPr>
          <w:sz w:val="22"/>
          <w:szCs w:val="22"/>
        </w:rPr>
        <w:t>– należy wpisać kod odpowiadający formie prawnej beneficjenta pomocy.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2"/>
        <w:gridCol w:w="1278"/>
        <w:gridCol w:w="1276"/>
      </w:tblGrid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28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32"/>
            </w:tblGrid>
            <w:tr>
              <w:trPr>
                <w:trHeight w:val="109" w:hRule="atLeast"/>
              </w:trPr>
              <w:tc>
                <w:tcPr>
                  <w:tcW w:w="2832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Przedsiębiorstwo państwowe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1.A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366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663"/>
            </w:tblGrid>
            <w:tr>
              <w:trPr>
                <w:trHeight w:val="109" w:hRule="atLeast"/>
              </w:trPr>
              <w:tc>
                <w:tcPr>
                  <w:tcW w:w="3663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Skarbu Państwa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1.B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30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Jednoosobowa spółka jednostki samorządu terytorialnego w rozumieniu ustawy z dnia 20 grudnia 1996 r. o gospodarce komunalnej (Dz. U. z 2019 r. poz. 712,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1.C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57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Spółka akcyjna albo spółka z ograniczoną odpowiedzialnością, w stosunk</w:t>
                  </w:r>
                  <w:r>
                    <w:rPr>
                      <w:sz w:val="22"/>
                      <w:szCs w:val="22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 xml:space="preserve">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2019 r. poz. 369,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1.D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Jednostka sektora finansów publicznych w rozumieniu ustawy z dnia 27 sierpnia 2009 r. o finansach publicznych (Dz. U. z 2019 r. poz. 869 z późn. zm.)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1.E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49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Inne - beneficjent pomocy nienależący do kategorii określonych kodem od 1.A do 1.E –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OSOBA FIZYCZNA PROWADZĄCA GOSPODARSTWO ROLNE</w:t>
                  </w:r>
                </w:p>
              </w:tc>
            </w:tr>
          </w:tbl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Wskazanie kategorii przedsiębiorstwa</w:t>
      </w:r>
      <w:r>
        <w:rPr>
          <w:sz w:val="22"/>
          <w:szCs w:val="22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2"/>
        <w:gridCol w:w="1278"/>
        <w:gridCol w:w="1276"/>
      </w:tblGrid>
      <w:tr>
        <w:trPr/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Mikroprzedsiębiorstwo </w:t>
                  </w:r>
                  <w:r>
                    <w:rPr>
                      <w:sz w:val="22"/>
                      <w:szCs w:val="22"/>
                    </w:rPr>
                    <w:t>(do 10 zatrudnionych osób, roczny obrót do 2 mln euro, suma aktywów do 2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Małe przedsiębiorstwo </w:t>
                  </w:r>
                  <w:r>
                    <w:rPr>
                      <w:sz w:val="22"/>
                      <w:szCs w:val="22"/>
                    </w:rPr>
                    <w:t>(do 50 zatrudnionych osób, roczny obrót do 10 mln euro, suma bilansowa (aktywów) do 10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226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Średnie przedsiębiorstwo </w:t>
                  </w:r>
                  <w:r>
                    <w:rPr>
                      <w:sz w:val="22"/>
                      <w:szCs w:val="22"/>
                    </w:rPr>
                    <w:t>(do 250 zatrudnionych osób, roczny obrót do 50 mln euro, suma bilansowa (aktywów) do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76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689"/>
            </w:tblGrid>
            <w:tr>
              <w:trPr>
                <w:trHeight w:val="335" w:hRule="atLeast"/>
              </w:trPr>
              <w:tc>
                <w:tcPr>
                  <w:tcW w:w="7689" w:type="dxa"/>
                  <w:tcBorders/>
                </w:tcPr>
                <w:p>
                  <w:pPr>
                    <w:pStyle w:val="Default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Przedsiębiorstwo nienależące do żadnej z powyższych kategorii </w:t>
                  </w:r>
                  <w:r>
                    <w:rPr>
                      <w:sz w:val="22"/>
                      <w:szCs w:val="22"/>
                    </w:rPr>
                    <w:t>(pow. 250 zatrudnionych osób, roczny obrót pow. 50 mln euro, suma bilansowa (aktywów) pow. 43 mln euro)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Klasa PKD </w:t>
      </w:r>
      <w:r>
        <w:rPr>
          <w:rFonts w:cs="Times New Roman" w:ascii="Times New Roman" w:hAnsi="Times New Roman"/>
        </w:rPr>
        <w:t>- należy podać klasę działalności (4 pierwsze znaki), określoną zgodnie z rozporządzeniem Rady Ministrów z dnia 24 grudnia 2007 r. w sprawie Polskiej Klasyfikacji Działalności (</w:t>
      </w:r>
      <w:r>
        <w:rPr>
          <w:rFonts w:cs="Times New Roman" w:ascii="Times New Roman" w:hAnsi="Times New Roman"/>
          <w:color w:val="000000"/>
          <w:shd w:fill="F9F9F9" w:val="clear"/>
        </w:rPr>
        <w:t>Dz.U. z 2007 r., nr 251, poz. 1885 ze zm.:Dz.U. z 2009 r., Nr 59, poz. 489; </w:t>
      </w:r>
      <w:r>
        <w:rPr>
          <w:rFonts w:cs="Times New Roman" w:ascii="Times New Roman" w:hAnsi="Times New Roman"/>
          <w:bCs/>
          <w:color w:val="000000"/>
          <w:shd w:fill="F9F9F9" w:val="clear"/>
        </w:rPr>
        <w:t>Dz.U. z 2017 r., poz. 2440)</w:t>
      </w:r>
    </w:p>
    <w:tbl>
      <w:tblPr>
        <w:tblStyle w:val="Tabela-Siatk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2"/>
        <w:gridCol w:w="1278"/>
        <w:gridCol w:w="1276"/>
      </w:tblGrid>
      <w:tr>
        <w:trPr/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Wyszczególnienie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Kod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Właściwe zaznaczyć</w:t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Uprawa zbóż, roślin strączkowych i roślin oleistych, z wyłączeniem ryżu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01.11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bydła mlecznego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świń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Chów i hodowla drobiu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01.47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Uprawy rolne połączone z chowem i hodowlą zwierząt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tbl>
            <w:tblPr>
              <w:tblW w:w="59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06"/>
            </w:tblGrid>
            <w:tr>
              <w:trPr>
                <w:trHeight w:val="73" w:hRule="atLeast"/>
              </w:trPr>
              <w:tc>
                <w:tcPr>
                  <w:tcW w:w="5906" w:type="dxa"/>
                  <w:tcBorders/>
                </w:tcPr>
                <w:p>
                  <w:pPr>
                    <w:pStyle w:val="Default"/>
                    <w:widowControl w:val="false"/>
                    <w:ind w:left="-108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Uprawa drzew i krzewów owocowych ziarnkowych i pestkowych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01.24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Inne ………………………………………………….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Pouczenie: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56 § 1 Kodeksu Karnego Skarbowego ( Dz.U. z 2018 r., poz. 1958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3. Jeżeli kwota podatku narażonego na uszczuplenie nie przekracza ustawowego progu, sprawca czynu zabronionego określonego w § 1 podlega karze grzywny za wykroczenia skarbowe.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Normal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3"/>
          <w:szCs w:val="23"/>
        </w:rPr>
        <w:t>(Podpis wnioskodawcy)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OBOWIĄZEK INFORMACYJNY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 13 ust. 1 i 2 Rozporządzenia Parl</w:t>
      </w:r>
      <w:r>
        <w:rPr>
          <w:rFonts w:cs="Times New Roman" w:ascii="Times New Roman" w:hAnsi="Times New Roman"/>
          <w:b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Administratorem Państwa danych jest Wójt Gminy Wodynie z siedzibą: ul. Siedlecka 43, 08-117 Wodynie, tel. 25 631-26-58, e-mail: 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</w:rPr>
          <w:t>gmina@wodynie.eu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3) Państwa dane osobowe będą przetwarzane w celu uzyskania zwrotu podatku akcyzowego, jak również w celu realizacji praw oraz obowiązków wynikających z przepisów prawa (art. 6 ust. 1 lit. c RODO) oraz ustawy z dnia 10 marca 2006 r. o zwrocie podatku akcyzowego zawartego w cenie oleju napędowego wykorzystywanego do produkcji rolnej </w:t>
      </w:r>
      <w:r>
        <w:rPr>
          <w:rFonts w:cs="Times New Roman" w:ascii="Times New Roman" w:hAnsi="Times New Roman"/>
          <w:color w:val="000000"/>
          <w:sz w:val="18"/>
          <w:szCs w:val="18"/>
          <w:shd w:fill="F9F9F9" w:val="clear"/>
        </w:rPr>
        <w:t>(Dz.U. z 2019 r., poz. 2188)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4) Państwa dane osobowe będą przetwarzane przez okres 5 lat do realizacji ww. celu z uwzględnieniem okresów przechowywania określonych w przepisach szczególnych, w tym przepisów archiwalnych.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5) Państwa dane nie będą przetwarzane w sposób zautomatyzowany, w tym nie będą podlegać profilowaniu.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6) Państwa dane osobowe nie będą przekazywane poza Europejski Obszar Gospodarczy (obejmujący Unię Europejską, Norwegię, Liechtenstein i Islandię).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7) W związku z przetwarzaniem Państwa danych osobowych, przysługują Państwu następujące prawa: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prawo dostępu do swoich danych oraz otrzymania ich kopii;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b) prawo do sprostowania (poprawiania) swoich danych osobowych;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c) prawo do ograniczenia przetwarzania danych osobowych;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9) Państwa dane mogą zostać przekazane podmiotom zewnętrznym na podstawie umowy powierzenia – Przedsiębiorstwu Technik Komputerowych „RECORD” S.C. z siedzibą w Siedlcach, ul. Warszawska 22, 08-110 Siedlce - przetwarzania danych osobowych, a także podmiotom lub organom uprawnionym na podstawie przepisów prawa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…………………………………………</w:t>
      </w:r>
      <w:r>
        <w:rPr>
          <w:rFonts w:cs="Times New Roman" w:ascii="Times New Roman" w:hAnsi="Times New Roman"/>
          <w:sz w:val="23"/>
          <w:szCs w:val="23"/>
        </w:rPr>
        <w:t>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(Podpis)</w:t>
        <w:tab/>
        <w:tab/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241ce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c331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708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331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wa.wodynie.eu/wp-content/uploads/2016/01/Formularz-informacji-przedstawionych-przy-ubieganiu-sie-o-pomoc-publiczna-w-zwiazku-ze-zwrotem-podatku-akcyzowego-zawartego-w-cenie-oleju-napedowego-wykorzystywanego-do-produkcji-rolnej.pdf" TargetMode="External"/><Relationship Id="rId3" Type="http://schemas.openxmlformats.org/officeDocument/2006/relationships/hyperlink" Target="mailto:gmina@wodynie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LibreOffice/7.0.2.2$Windows_X86_64 LibreOffice_project/8349ace3c3162073abd90d81fd06dcfb6b36b994</Application>
  <Pages>2</Pages>
  <Words>962</Words>
  <Characters>5739</Characters>
  <CharactersWithSpaces>6659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2020-01-20T14:26:00Z</dcterms:created>
  <dc:creator>Ewa Adamiak</dc:creator>
  <dc:description/>
  <dc:language>pl-PL</dc:language>
  <cp:lastModifiedBy/>
  <cp:lastPrinted>2020-01-21T07:23:00Z</cp:lastPrinted>
  <dcterms:modified xsi:type="dcterms:W3CDTF">2022-07-26T08:06:00Z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